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Frequently Asked Questions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1. What services does EES provide?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M/s Environment and Education Services (EES) provides environmental and social consulting, assessment, monitoring, compliance, and advisory services for public, private, and donor-funded projects.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2. Does EES work on donor-funded projects?</w:t>
      </w:r>
      <w:bookmarkStart w:id="0" w:name="_GoBack"/>
      <w:bookmarkEnd w:id="0"/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Yes. EES supports projects in accordance with national regulations, international good practices, and applicable donor environmental and social standards.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3. Does EES prepare EIA, IEE, ESIA and ESMP documents?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Yes. EES prepares EIA, IEE, ESIA, ESMP, ESMF, environmental audits, screening, and due diligence reports according to project requirements.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4. Does EES prepare Resettlement Action Plans (RAP)?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Yes. EES provides RAP preparation, socioeconomic surveys, asset inventories, stakeholder consultation, livelihood assessment, grievance management, and RAP monitoring support.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5. Does EES provide archaeological and cultural heritage services?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Yes. EES provides archaeological and cultural heritage assessments, site surveys, Chance Find Procedures, cultural heritage monitoring, and related management plans.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6. Can EES prepare a PCRMP?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Yes. EES can prepare Project-specific Cultural Resources Management Plans (PCRMPs) to identify, assess, and manage potential impacts on archaeological and cultural heritage resources.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7. Does EES provide environmental analytical testing?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Yes. EES provides or coordinates water, wastewater, soil, air quality, noise, emissions, and other environmental analytical testing through suitable laboratory service providers.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 xml:space="preserve">8. </w:t>
      </w:r>
      <w:r w:rsidRPr="00D363C2">
        <w:rPr>
          <w:rFonts w:ascii="Times New Roman" w:hAnsi="Times New Roman" w:cs="Times New Roman"/>
          <w:sz w:val="24"/>
          <w:szCs w:val="24"/>
        </w:rPr>
        <w:t>Does EES provide environmental analytical services, asbestos surveys, and laboratory analysis?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Yes. EES conducts asbestos surveys and assessments, including site inspections, identification of suspected asbestos-containing materials (ACMs), sampling, documentation, and preparation of survey reports. For laboratory analysis, EES coordinates with qualified specialist asbestos testing laboratories/service providers to ensure appropriate testing and reporting.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9. Does EES provide environmental and social monitoring?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lastRenderedPageBreak/>
        <w:t>Yes. EES conducts environmental and social compliance monitoring, site inspections, contractor compliance reviews, and monitoring/reporting services.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10. Does EES provide stakeholder engagement and GRM services?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Yes. EES supports stakeholder consultation, community engagement, Stakeholder Engagement Plans (SEPs), and Grievance Redress Mechanisms (GRMs).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11. Does EES provide training and capacity building?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Yes. EES provides training, workshops, awareness programs, and capacity building on environmental, social, health and safety, and compliance requirements.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12. How can we engage EES?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  <w:r w:rsidRPr="00D363C2">
        <w:rPr>
          <w:rFonts w:ascii="Times New Roman" w:hAnsi="Times New Roman" w:cs="Times New Roman"/>
          <w:sz w:val="24"/>
          <w:szCs w:val="24"/>
        </w:rPr>
        <w:t>Clients can share their project details, Terms of Reference (</w:t>
      </w:r>
      <w:proofErr w:type="spellStart"/>
      <w:r w:rsidRPr="00D363C2">
        <w:rPr>
          <w:rFonts w:ascii="Times New Roman" w:hAnsi="Times New Roman" w:cs="Times New Roman"/>
          <w:sz w:val="24"/>
          <w:szCs w:val="24"/>
        </w:rPr>
        <w:t>ToR</w:t>
      </w:r>
      <w:proofErr w:type="spellEnd"/>
      <w:r w:rsidRPr="00D363C2">
        <w:rPr>
          <w:rFonts w:ascii="Times New Roman" w:hAnsi="Times New Roman" w:cs="Times New Roman"/>
          <w:sz w:val="24"/>
          <w:szCs w:val="24"/>
        </w:rPr>
        <w:t>), or scope of work with EES. Our team will propose an appropriate methodology, expertise, deliverables, and work plan.</w:t>
      </w: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</w:p>
    <w:p w:rsidR="00E778F3" w:rsidRPr="00D363C2" w:rsidRDefault="00E778F3" w:rsidP="00E778F3">
      <w:pPr>
        <w:rPr>
          <w:rFonts w:ascii="Times New Roman" w:hAnsi="Times New Roman" w:cs="Times New Roman"/>
          <w:sz w:val="24"/>
          <w:szCs w:val="24"/>
        </w:rPr>
      </w:pPr>
    </w:p>
    <w:sectPr w:rsidR="00E778F3" w:rsidRPr="00D36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A7C"/>
    <w:rsid w:val="00394A7C"/>
    <w:rsid w:val="004B4571"/>
    <w:rsid w:val="00B3781A"/>
    <w:rsid w:val="00D363C2"/>
    <w:rsid w:val="00E25638"/>
    <w:rsid w:val="00E7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1E25B"/>
  <w15:chartTrackingRefBased/>
  <w15:docId w15:val="{2E4753AB-A296-4E9A-BFDA-52D8D19E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6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6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1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7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2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1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Zaffar Hassan</dc:creator>
  <cp:keywords/>
  <dc:description/>
  <cp:lastModifiedBy>Zaffar Hassan</cp:lastModifiedBy>
  <cp:revision>4</cp:revision>
  <dcterms:created xsi:type="dcterms:W3CDTF">2026-09-07T06:43:00Z</dcterms:created>
  <dcterms:modified xsi:type="dcterms:W3CDTF">2026-09-07T06:50:00Z</dcterms:modified>
</cp:coreProperties>
</file>